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48BA" w:rsidRDefault="005948BA" w:rsidP="008970A1">
      <w:pPr>
        <w:pStyle w:val="Normln1"/>
        <w:spacing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Akční plán Národní strategie globálního rozvojového vzdělávání pro období 2016 - 2017</w:t>
      </w:r>
    </w:p>
    <w:p w:rsidR="005948BA" w:rsidRDefault="005948BA" w:rsidP="008970A1">
      <w:pPr>
        <w:pStyle w:val="Normln1"/>
        <w:spacing w:after="120"/>
      </w:pPr>
    </w:p>
    <w:tbl>
      <w:tblPr>
        <w:tblW w:w="153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694"/>
        <w:gridCol w:w="3827"/>
        <w:gridCol w:w="2364"/>
        <w:gridCol w:w="6415"/>
      </w:tblGrid>
      <w:tr w:rsidR="005948BA" w:rsidTr="00B8596B">
        <w:tc>
          <w:tcPr>
            <w:tcW w:w="269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  <w:sz w:val="24"/>
                <w:szCs w:val="24"/>
              </w:rPr>
              <w:t>Oblast</w:t>
            </w: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  <w:sz w:val="24"/>
                <w:szCs w:val="24"/>
              </w:rPr>
              <w:t>Úkol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  <w:sz w:val="24"/>
                <w:szCs w:val="24"/>
              </w:rPr>
              <w:t>Gestor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  <w:sz w:val="24"/>
                <w:szCs w:val="24"/>
              </w:rPr>
              <w:t>Indikátor</w:t>
            </w:r>
          </w:p>
        </w:tc>
      </w:tr>
      <w:tr w:rsidR="005948BA" w:rsidTr="00B8596B">
        <w:trPr>
          <w:trHeight w:val="789"/>
        </w:trPr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spacing w:after="120" w:line="240" w:lineRule="auto"/>
              <w:rPr>
                <w:sz w:val="24"/>
                <w:szCs w:val="24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 xml:space="preserve">Vzdělávací politika, koncepce a programy </w:t>
            </w:r>
          </w:p>
        </w:tc>
        <w:tc>
          <w:tcPr>
            <w:tcW w:w="3827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Zlepšit vnímání důležitosti problematiky globálního rozvojového vzdělávání (GRV) ze strany učitelů a odborné pedagogické veřejnosti </w:t>
            </w: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MŠMT, NÚV, NIDV 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  <w:r>
              <w:t>(ve spolupráci s pracovní skupinou  pro GRV)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Problematika GRV prioritně akcentována v rámci průřezového tématu Výchova k myšlení v evropských a globálních souvislostech</w:t>
            </w:r>
            <w:r>
              <w:rPr>
                <w:b/>
              </w:rPr>
              <w:t xml:space="preserve"> (VMGSE)</w:t>
            </w:r>
            <w:r w:rsidRPr="00F57EC7">
              <w:rPr>
                <w:b/>
              </w:rPr>
              <w:t>, případně upraven název tohoto tématu.</w:t>
            </w:r>
          </w:p>
        </w:tc>
      </w:tr>
      <w:tr w:rsidR="005948BA" w:rsidTr="00B8596B">
        <w:trPr>
          <w:trHeight w:val="526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DB1262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 xml:space="preserve">Zahájeny kroky k zavedení </w:t>
            </w:r>
            <w:r>
              <w:rPr>
                <w:b/>
              </w:rPr>
              <w:t xml:space="preserve">role </w:t>
            </w:r>
            <w:r w:rsidRPr="00F57EC7">
              <w:rPr>
                <w:b/>
              </w:rPr>
              <w:t>koordinátora GRV ve školách.</w:t>
            </w:r>
          </w:p>
        </w:tc>
      </w:tr>
      <w:tr w:rsidR="005948BA" w:rsidTr="00B8596B">
        <w:trPr>
          <w:trHeight w:val="420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Existuje přehled škol, které jsou zapojeny do akcí GRV.</w:t>
            </w:r>
          </w:p>
        </w:tc>
      </w:tr>
      <w:tr w:rsidR="005948BA" w:rsidTr="00B8596B">
        <w:trPr>
          <w:trHeight w:val="789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Pokračuje podpora a poskytování informací školám o možnostech zapojení do akcí zaměřených na GRV (Týden globálního vzdělávání, Týden udržitelného rozvoje, program Světová škola apod.). </w:t>
            </w:r>
          </w:p>
        </w:tc>
      </w:tr>
      <w:tr w:rsidR="005948BA" w:rsidTr="00B8596B">
        <w:trPr>
          <w:trHeight w:val="789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Zahájeny kroky k vytvoření interaktivní platformy pro zajištění informovanosti a podpory zapojení se do akcí zaměřených na GRV.</w:t>
            </w:r>
          </w:p>
        </w:tc>
      </w:tr>
      <w:tr w:rsidR="005948BA" w:rsidTr="00B8596B">
        <w:trPr>
          <w:trHeight w:val="747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 w:val="restart"/>
          </w:tcPr>
          <w:p w:rsidR="005948BA" w:rsidRPr="00F57EC7" w:rsidRDefault="005948BA" w:rsidP="00F57EC7">
            <w:pPr>
              <w:pStyle w:val="Normln11"/>
              <w:spacing w:after="120"/>
              <w:ind w:left="7" w:hanging="7"/>
              <w:contextualSpacing/>
              <w:rPr>
                <w:rFonts w:ascii="Calibri" w:hAnsi="Calibri"/>
                <w:sz w:val="22"/>
                <w:szCs w:val="22"/>
              </w:rPr>
            </w:pPr>
            <w:r w:rsidRPr="00F57EC7">
              <w:rPr>
                <w:rFonts w:ascii="Calibri" w:hAnsi="Calibri"/>
                <w:sz w:val="22"/>
                <w:szCs w:val="22"/>
              </w:rPr>
              <w:t xml:space="preserve">Podpořit, vytvořit a zpřístupnit pedagogům škálu aktuálních a relevantních metodologických materiálů k začleňování GRV do vzdělávacích procesů. 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MŠMT ve spolupráci s NÚV a NIDV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Průřezové téma VMEGS aktualizováno o příklady začlenění globální dimenze u vybraných témat ve vazbě na Doporučené očekávané výstupy v RVP ZV a v RVP G.</w:t>
            </w:r>
          </w:p>
        </w:tc>
      </w:tr>
      <w:tr w:rsidR="005948BA" w:rsidTr="00B8596B">
        <w:trPr>
          <w:trHeight w:val="746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Pr="00F57EC7" w:rsidRDefault="005948BA" w:rsidP="00F57EC7">
            <w:pPr>
              <w:pStyle w:val="Normln11"/>
              <w:spacing w:after="120"/>
              <w:ind w:left="7" w:hanging="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Existuje navazující metodická podpora – konkretizovaná témata a náměty na činnost, aktualizované zdroje. </w:t>
            </w:r>
          </w:p>
        </w:tc>
      </w:tr>
      <w:tr w:rsidR="005948BA" w:rsidTr="00B8596B">
        <w:trPr>
          <w:trHeight w:val="746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Pr="00F57EC7" w:rsidRDefault="005948BA" w:rsidP="00F57EC7">
            <w:pPr>
              <w:pStyle w:val="Normln11"/>
              <w:spacing w:after="120"/>
              <w:ind w:left="7" w:hanging="7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Zástupce PS pro GRV se pravidelně účastní odborné skupiny NÚV pro průřezová témata.</w:t>
            </w:r>
          </w:p>
        </w:tc>
      </w:tr>
      <w:tr w:rsidR="005948BA" w:rsidTr="00B8596B">
        <w:trPr>
          <w:trHeight w:val="550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Zvýšit informovanost pracovníků MŠMT, profesních asociací (učitelů, ředitelů), odborů školství krajských a obecních úřadů o principech a cílech GRV</w:t>
            </w: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MŠMT, profesní instituce, krajské a obecní úřady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Uskutečněna minimálně jedna konference či seminář ke GRV na celostátní úrovni.</w:t>
            </w:r>
          </w:p>
        </w:tc>
      </w:tr>
      <w:tr w:rsidR="005948BA" w:rsidTr="00B8596B">
        <w:trPr>
          <w:trHeight w:val="1155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Zástupce pracovní skupiny pro GRV či NIDV se účastní některého z pravidelných setkání krajských orgánů či profesních asociací a předá </w:t>
            </w:r>
            <w:r>
              <w:rPr>
                <w:b/>
              </w:rPr>
              <w:t xml:space="preserve">pracovní skupině </w:t>
            </w:r>
            <w:r w:rsidRPr="00F57EC7">
              <w:rPr>
                <w:b/>
              </w:rPr>
              <w:t>informaci o GRV.</w:t>
            </w:r>
          </w:p>
        </w:tc>
      </w:tr>
      <w:tr w:rsidR="005948BA" w:rsidTr="00B8596B">
        <w:trPr>
          <w:trHeight w:val="818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Zajistit návaznost problematiky GRV na činnost Výboru pro vzdělávání k udržitelnému rozvoji.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MZV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 xml:space="preserve">Zástupce </w:t>
            </w:r>
            <w:r>
              <w:rPr>
                <w:b/>
              </w:rPr>
              <w:t xml:space="preserve">pracovní skupiny </w:t>
            </w:r>
            <w:r w:rsidRPr="00F57EC7">
              <w:rPr>
                <w:b/>
              </w:rPr>
              <w:t xml:space="preserve">pro GRV se pravidelně účastní zasedání Výboru pro </w:t>
            </w:r>
            <w:r>
              <w:rPr>
                <w:b/>
              </w:rPr>
              <w:t>vzdělávání k udržitelnému rozvoji Rady vlády pro udržitelný rozvoj.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</w:tr>
      <w:tr w:rsidR="005948BA" w:rsidTr="00B8596B">
        <w:trPr>
          <w:trHeight w:val="893"/>
        </w:trPr>
        <w:tc>
          <w:tcPr>
            <w:tcW w:w="269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  <w:u w:val="single"/>
              </w:rPr>
              <w:t>Výukové materiály a zdroje pro učitele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 w:val="restart"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  <w:r>
              <w:t xml:space="preserve">Podpořit tvorbu nových didaktických materiálů a provádět průběžnou aktualizaci informací a podpůrných zdrojů pro výuku témat GRV. </w:t>
            </w:r>
          </w:p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NIDV, NÚV, FoRS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Portál RVP (www.rvp.cz) je revidován a pravidelně je aktualizována databáze materiálů ke GRV.</w:t>
            </w:r>
          </w:p>
        </w:tc>
      </w:tr>
      <w:tr w:rsidR="005948BA" w:rsidTr="00B8596B">
        <w:trPr>
          <w:trHeight w:val="1091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DB1262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Existuje prostředí digifolia s průběžně aktualizovanými materiály a zdroji, včetně přehledu výstupů z projektů i doporučení vzešlých z</w:t>
            </w:r>
            <w:r>
              <w:rPr>
                <w:b/>
              </w:rPr>
              <w:t> </w:t>
            </w:r>
            <w:r w:rsidRPr="00F57EC7">
              <w:rPr>
                <w:b/>
              </w:rPr>
              <w:t>evaluací</w:t>
            </w:r>
            <w:r>
              <w:rPr>
                <w:b/>
              </w:rPr>
              <w:t>.</w:t>
            </w:r>
          </w:p>
        </w:tc>
      </w:tr>
      <w:tr w:rsidR="005948BA" w:rsidTr="00B8596B">
        <w:trPr>
          <w:trHeight w:val="882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Vytvořena metodika pro školy k naplnění organizačních a technických předpokladů pro výuku GRV.</w:t>
            </w:r>
          </w:p>
        </w:tc>
      </w:tr>
      <w:tr w:rsidR="005948BA" w:rsidTr="00B8596B">
        <w:trPr>
          <w:trHeight w:val="865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Zpracovány ukázky integrace témat GRV do vybraných tematických okruhů průřezových témat a vzdělávacích oborů.</w:t>
            </w:r>
          </w:p>
        </w:tc>
      </w:tr>
      <w:tr w:rsidR="005948BA" w:rsidTr="00B8596B">
        <w:trPr>
          <w:trHeight w:val="793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ČRA, FoRS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Zveřejněny metodiky pro výuku témat GRV vytvořené realizátory projektů z NNO na portálu RVP. </w:t>
            </w:r>
          </w:p>
        </w:tc>
      </w:tr>
      <w:tr w:rsidR="005948BA" w:rsidTr="00B8596B">
        <w:trPr>
          <w:trHeight w:val="624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DB1262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Materiály pro učitele šířeny prostřednictvím komunikačních kanálů NNO (weby, zpravodaje).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</w:p>
        </w:tc>
      </w:tr>
      <w:tr w:rsidR="005948BA" w:rsidTr="00B8596B">
        <w:trPr>
          <w:trHeight w:val="642"/>
        </w:trPr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spacing w:after="120" w:line="240" w:lineRule="auto"/>
              <w:rPr>
                <w:sz w:val="24"/>
                <w:szCs w:val="24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>Pregraduální příprava učitelů</w:t>
            </w:r>
          </w:p>
        </w:tc>
        <w:tc>
          <w:tcPr>
            <w:tcW w:w="3827" w:type="dxa"/>
            <w:vMerge w:val="restart"/>
          </w:tcPr>
          <w:p w:rsidR="005948BA" w:rsidRPr="00F57EC7" w:rsidRDefault="005948BA" w:rsidP="00F57EC7">
            <w:pPr>
              <w:pStyle w:val="Normln11"/>
              <w:spacing w:after="120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Zajistit, aby p</w:t>
            </w:r>
            <w:r w:rsidRPr="00F57EC7">
              <w:rPr>
                <w:rFonts w:ascii="Calibri" w:hAnsi="Calibri"/>
                <w:sz w:val="22"/>
                <w:szCs w:val="22"/>
              </w:rPr>
              <w:t>regraduální příprava učitelů a další vzdělávání pedagogických pracovníků reflekt</w:t>
            </w:r>
            <w:r>
              <w:rPr>
                <w:rFonts w:ascii="Calibri" w:hAnsi="Calibri"/>
                <w:sz w:val="22"/>
                <w:szCs w:val="22"/>
              </w:rPr>
              <w:t>ovaly</w:t>
            </w:r>
            <w:r w:rsidRPr="00F57EC7">
              <w:rPr>
                <w:rFonts w:ascii="Calibri" w:hAnsi="Calibri"/>
                <w:sz w:val="22"/>
                <w:szCs w:val="22"/>
              </w:rPr>
              <w:t xml:space="preserve"> problematiku GRV.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MŠMT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Kompetenční profil učitele obsahuje principy GRV.</w:t>
            </w:r>
          </w:p>
        </w:tc>
      </w:tr>
      <w:tr w:rsidR="005948BA" w:rsidTr="00B8596B">
        <w:trPr>
          <w:trHeight w:val="641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Pr="00F57EC7" w:rsidRDefault="005948BA" w:rsidP="00F57EC7">
            <w:pPr>
              <w:pStyle w:val="Normln11"/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Vytvořen seznam výzev z OP VVV, které umožňují podporu kompetencí učitelů pro zavádění GRV na školách.</w:t>
            </w:r>
          </w:p>
        </w:tc>
      </w:tr>
      <w:tr w:rsidR="005948BA" w:rsidTr="00B8596B"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Asociace děkanů pedagogických fakult 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Vytvořen přehled programů pedagogických fakult VŠ, které obsahují cíle a principy GRV.</w:t>
            </w:r>
          </w:p>
        </w:tc>
      </w:tr>
      <w:tr w:rsidR="005948BA" w:rsidTr="00B8596B">
        <w:trPr>
          <w:trHeight w:val="1083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Asociace děkanů pedagogických fakult v součinnosti s pracovní skupina pro GRV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 xml:space="preserve">Definovány nové způsoby, jak zapojit pedagogické VŠ do implementace Národní strategie GRV. </w:t>
            </w:r>
          </w:p>
        </w:tc>
      </w:tr>
      <w:tr w:rsidR="005948BA" w:rsidTr="00B8596B">
        <w:trPr>
          <w:trHeight w:val="637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MŠMT, pracovní skupina pro GRV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Vytvořen přehled nepedagogických </w:t>
            </w:r>
            <w:r>
              <w:rPr>
                <w:b/>
              </w:rPr>
              <w:t>vysokých škol</w:t>
            </w:r>
            <w:r w:rsidRPr="00F57EC7">
              <w:rPr>
                <w:b/>
              </w:rPr>
              <w:t>, které vzdělávají budoucí učitele.</w:t>
            </w:r>
          </w:p>
        </w:tc>
      </w:tr>
      <w:tr w:rsidR="005948BA" w:rsidTr="00B8596B">
        <w:trPr>
          <w:trHeight w:val="744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Navázána komunikace s nepedagogickými </w:t>
            </w:r>
            <w:r>
              <w:rPr>
                <w:b/>
              </w:rPr>
              <w:t>vysokými školami</w:t>
            </w:r>
            <w:r w:rsidRPr="00F57EC7">
              <w:rPr>
                <w:b/>
              </w:rPr>
              <w:t>, které vzdělávají budoucí učitele a zmapováno, do jaké míry zařazují do svých studijních programů problematiku GRV.</w:t>
            </w:r>
          </w:p>
        </w:tc>
      </w:tr>
      <w:tr w:rsidR="005948BA" w:rsidTr="00B8596B">
        <w:trPr>
          <w:trHeight w:val="642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PedF UK ve spolupráci s Asociací děkanů pedagogických fakult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Vytvořen dotazník pro hodnocení zohlednění cílů, principů a témat GRV v jednotlivých studijních programech.</w:t>
            </w:r>
          </w:p>
        </w:tc>
      </w:tr>
      <w:tr w:rsidR="005948BA" w:rsidTr="00B8596B">
        <w:trPr>
          <w:trHeight w:val="641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Připraven návrh, jak vzdělávací programy pro učitele zohlední cíle, principy a témata GRV.</w:t>
            </w:r>
          </w:p>
        </w:tc>
      </w:tr>
      <w:tr w:rsidR="005948BA" w:rsidTr="00B8596B">
        <w:trPr>
          <w:trHeight w:val="1077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Vysoké školy připravující budoucí učitele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V rámci studia učitelství příslušných vzdělávacích oborů je studentům v průběhu jejich studia zprostředkována minimálně jedna reflektovaná praxe, kterou je možno označit jako dobrou praxi GRV.</w:t>
            </w:r>
          </w:p>
        </w:tc>
      </w:tr>
      <w:tr w:rsidR="005948BA" w:rsidTr="00B8596B">
        <w:trPr>
          <w:trHeight w:val="949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603D52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Existují pracoviště pro vzdělávání učitelů, která spolupracují  minimálně </w:t>
            </w:r>
            <w:r>
              <w:rPr>
                <w:b/>
              </w:rPr>
              <w:t xml:space="preserve">s </w:t>
            </w:r>
            <w:r w:rsidRPr="00F57EC7">
              <w:rPr>
                <w:b/>
              </w:rPr>
              <w:t>jednou vědeckou, odbornou či zájmovou organizací či pracovištěm zabývajícím se problematikou GRV.</w:t>
            </w:r>
          </w:p>
        </w:tc>
      </w:tr>
      <w:tr w:rsidR="005948BA" w:rsidTr="00B8596B">
        <w:trPr>
          <w:trHeight w:val="925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BE1422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BE1422">
              <w:rPr>
                <w:b/>
              </w:rPr>
              <w:t>Uskutečněna pracovní konference zástupců vysokých škol (minimálně  z 10 VŠ pracovišť),  kde budou sdíleny zkušenosti a výzkumy začleňování GRV do pregraduální přípravy učitelů.</w:t>
            </w:r>
          </w:p>
        </w:tc>
      </w:tr>
      <w:tr w:rsidR="005948BA" w:rsidTr="00B8596B">
        <w:trPr>
          <w:trHeight w:val="982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Vytvořeny tištěné i elektronické studijní materiály pro podporu výuky budoucích učitelů v oblasti globálního rozvojového vzdělávání a didaktiky GRV.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</w:tr>
      <w:tr w:rsidR="005948BA" w:rsidTr="00B8596B">
        <w:trPr>
          <w:trHeight w:val="578"/>
        </w:trPr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  <w:rPr>
                <w:sz w:val="24"/>
                <w:szCs w:val="24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>Další vzdělávání pedagogických pracovníků (DVPP)</w:t>
            </w:r>
            <w:r w:rsidRPr="00B9187C">
              <w:rPr>
                <w:b/>
                <w:sz w:val="24"/>
                <w:szCs w:val="24"/>
              </w:rPr>
              <w:t xml:space="preserve"> 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 w:val="restart"/>
          </w:tcPr>
          <w:p w:rsidR="005948BA" w:rsidRPr="00950EF6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  <w:r>
              <w:t xml:space="preserve">Rozšířit nabídku dalšího vzdělávání pedagogických pracovníků k tématům GRV </w:t>
            </w: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NIDV ve spolupráci        s FoRS (NNO) a vysokými školami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 xml:space="preserve">Nově vytvořeny akreditované vzdělávací programy DVPP ve spolupráci s FoRS (NNO) a </w:t>
            </w:r>
            <w:r>
              <w:rPr>
                <w:b/>
              </w:rPr>
              <w:t>vysokými školami.</w:t>
            </w:r>
          </w:p>
        </w:tc>
      </w:tr>
      <w:tr w:rsidR="005948BA" w:rsidTr="00B8596B">
        <w:trPr>
          <w:trHeight w:val="576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DB1262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Realizovány vzdělávací programy DVPP na krajských pracovištích NIDV.</w:t>
            </w:r>
          </w:p>
        </w:tc>
      </w:tr>
      <w:tr w:rsidR="005948BA" w:rsidTr="00B8596B">
        <w:trPr>
          <w:trHeight w:val="550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Vzdělávací programy NNO pro DVPP rozšířeny do všech krajů v ČR</w:t>
            </w:r>
          </w:p>
        </w:tc>
      </w:tr>
      <w:tr w:rsidR="005948BA" w:rsidTr="00B8596B">
        <w:trPr>
          <w:trHeight w:val="756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Vytvořeny tištěné i elektronické studijní materiály pro podporu dalšího vzdělávání pedagogických pracovníků v oblasti globálního rozvojového vzdělávání a didaktiky GRV.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</w:tr>
      <w:tr w:rsidR="005948BA" w:rsidTr="00B8596B">
        <w:trPr>
          <w:trHeight w:val="408"/>
        </w:trPr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spacing w:after="120" w:line="240" w:lineRule="auto"/>
              <w:rPr>
                <w:sz w:val="24"/>
                <w:szCs w:val="24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 xml:space="preserve">Výzkum a vývoj 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Podporovat zapojení VŠ do výzkumu GRV.</w:t>
            </w: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Pracovní skupina pro GRV</w:t>
            </w:r>
          </w:p>
        </w:tc>
        <w:tc>
          <w:tcPr>
            <w:tcW w:w="6415" w:type="dxa"/>
          </w:tcPr>
          <w:p w:rsidR="005948BA" w:rsidRPr="00960B21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Vytvořen přehled VŠ zapojených do výzkumu GRV.</w:t>
            </w:r>
            <w:r>
              <w:t xml:space="preserve"> </w:t>
            </w:r>
          </w:p>
        </w:tc>
      </w:tr>
      <w:tr w:rsidR="005948BA" w:rsidTr="00B8596B">
        <w:trPr>
          <w:trHeight w:val="641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Ověřena možnost </w:t>
            </w:r>
            <w:r w:rsidRPr="00F57EC7">
              <w:rPr>
                <w:b/>
              </w:rPr>
              <w:t>vytvoření koordinačního místa (platformy), které by podporovalo spolupráci a sdílení dobré praxe mezi jednotlivými VŠ.</w:t>
            </w:r>
          </w:p>
        </w:tc>
      </w:tr>
      <w:tr w:rsidR="005948BA" w:rsidTr="00B8596B">
        <w:trPr>
          <w:trHeight w:val="739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tabs>
                <w:tab w:val="left" w:pos="284"/>
              </w:tabs>
              <w:spacing w:after="120" w:line="240" w:lineRule="auto"/>
            </w:pP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Vysoké školy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Zpracováno alespoň </w:t>
            </w:r>
            <w:r>
              <w:rPr>
                <w:b/>
              </w:rPr>
              <w:t>5</w:t>
            </w:r>
            <w:r w:rsidRPr="00F57EC7">
              <w:rPr>
                <w:b/>
              </w:rPr>
              <w:t xml:space="preserve"> závěrečných (ročníkových, bakalářských, diplomových a doktorských) prací z oblasti GRV.</w:t>
            </w:r>
          </w:p>
        </w:tc>
      </w:tr>
      <w:tr w:rsidR="005948BA" w:rsidTr="00B8596B">
        <w:trPr>
          <w:trHeight w:val="220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Pokračuje spolupráce akademických pracovišť se zahraničními institucemi</w:t>
            </w:r>
            <w:r>
              <w:rPr>
                <w:b/>
              </w:rPr>
              <w:t>, které GRV do výzkumu začleňují 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</w:tr>
      <w:tr w:rsidR="005948BA" w:rsidTr="00B8596B">
        <w:trPr>
          <w:trHeight w:val="931"/>
        </w:trPr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spacing w:after="120" w:line="240" w:lineRule="auto"/>
              <w:rPr>
                <w:sz w:val="24"/>
                <w:szCs w:val="24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>Mimoškolní aktivity a zájmová činnost dětí a mládeže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Zahrnout principy a témata GRV do Programů státní podpory práce s dětmi a mládeží. 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MŠMT, ČRDM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Program státní podpory práce s dětmi a mládeží obsahuje principy a témata GRV.</w:t>
            </w:r>
          </w:p>
        </w:tc>
      </w:tr>
      <w:tr w:rsidR="005948BA" w:rsidTr="00B8596B"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Metodicky podpořit zahrnutí GRV do činnosti školských zařízení pro zájmové vzdělávání. 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NIDV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Vytvořen metodický materiál na zahrnutí GRV do činnosti školských zařízení pro zájmové vzdělávání.</w:t>
            </w:r>
          </w:p>
        </w:tc>
      </w:tr>
      <w:tr w:rsidR="005948BA" w:rsidTr="00B8596B">
        <w:trPr>
          <w:trHeight w:val="1152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Podporovat činnost nestátních neziskových a zájmových organizací pracujících s dětmi a mládeží ve volném čase v oblasti GRV. 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NIDV, ČRA, ČRDM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Existují příklady konkrétní spolupráce NNO a organizací pracujících s dětmi a mládeží v oblasti GRV.</w:t>
            </w:r>
          </w:p>
        </w:tc>
      </w:tr>
      <w:tr w:rsidR="005948BA" w:rsidTr="00B8596B">
        <w:trPr>
          <w:trHeight w:val="642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Zapojit Dům zahraniční spolupráce do prosazování principů a témat GRV do zájmové činnosti dětí a mládeže.</w:t>
            </w: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pracovní skupina pro GRV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Zástupce Domu zahraniční spolupráce zapojen do pracovní skupiny pro GRV. </w:t>
            </w:r>
          </w:p>
        </w:tc>
      </w:tr>
      <w:tr w:rsidR="005948BA" w:rsidTr="00B8596B">
        <w:trPr>
          <w:trHeight w:val="641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Zmapovány možnosti pro cílenou podporu GRV v grantech, které administruje Dům pro zahraniční spolupráci.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</w:tr>
      <w:tr w:rsidR="005948BA" w:rsidTr="00B8596B">
        <w:trPr>
          <w:trHeight w:val="601"/>
        </w:trPr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spacing w:after="120" w:line="240" w:lineRule="auto"/>
              <w:rPr>
                <w:b/>
                <w:sz w:val="24"/>
                <w:szCs w:val="24"/>
                <w:u w:val="single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>Osvěta o globálních tématech (Další vzdělávání dospělých)</w:t>
            </w:r>
          </w:p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Zprostředkovávat veřejnosti informace o rozvojových zemích a globálních problémech formou publikací, seminářů, výstav, různých variant programové nabídky veřejnoprávních sdělovacích prostředků apod. </w:t>
            </w:r>
          </w:p>
        </w:tc>
        <w:tc>
          <w:tcPr>
            <w:tcW w:w="2364" w:type="dxa"/>
            <w:vMerge w:val="restart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MZV, ČRA, NNO, PP ZRS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Uskutečněny semináře, výstavy a další akce, na nichž jsou veřejnosti předávány informace o rozvojových zemích a globálních problémech.</w:t>
            </w:r>
          </w:p>
        </w:tc>
      </w:tr>
      <w:tr w:rsidR="005948BA" w:rsidTr="00B8596B">
        <w:trPr>
          <w:trHeight w:val="543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 xml:space="preserve">ČRA </w:t>
            </w:r>
            <w:r>
              <w:rPr>
                <w:b/>
              </w:rPr>
              <w:t xml:space="preserve">a NNO </w:t>
            </w:r>
            <w:r w:rsidRPr="00F57EC7">
              <w:rPr>
                <w:b/>
              </w:rPr>
              <w:t xml:space="preserve">na svých stránkách uvádí příklady dobré praxe v oblasti GRV. </w:t>
            </w:r>
          </w:p>
        </w:tc>
      </w:tr>
      <w:tr w:rsidR="005948BA" w:rsidTr="00B8596B">
        <w:trPr>
          <w:trHeight w:val="853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Pro zvýšení dopadu osvětové práce ČRA vytvořit specializovanou pozici „PR managera“ v rámci systemizace ČRA a zvýšit finanční alokace pro zvýšení informovanosti a osvěty (včetně osvěty o GRV).</w:t>
            </w:r>
          </w:p>
        </w:tc>
      </w:tr>
      <w:tr w:rsidR="005948BA" w:rsidTr="00B8596B">
        <w:trPr>
          <w:trHeight w:val="601"/>
        </w:trPr>
        <w:tc>
          <w:tcPr>
            <w:tcW w:w="2694" w:type="dxa"/>
            <w:vMerge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  <w:u w:val="single"/>
              </w:rPr>
            </w:pPr>
          </w:p>
        </w:tc>
        <w:tc>
          <w:tcPr>
            <w:tcW w:w="3827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236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Uskutečněn minimálně 1 průzkum veřejného mínění o otázkách globálního rozvoje.</w:t>
            </w:r>
          </w:p>
        </w:tc>
      </w:tr>
      <w:tr w:rsidR="005948BA" w:rsidTr="00B8596B"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Podporovat partnerství v rámci občanské společnosti a rozvoj kapacit nestátních neziskových organizací poskytujících služby veřejnosti v oblasti globálního rozvojového vzdělávání. 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MZV, MŠMT, ČRA, NNO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Prostřednictvím dotačních titulů je ze strany MZV/ČRA podporováno navazování partnerství a rozvoj kapacit NNO zaměřených na oblast GRV.</w:t>
            </w:r>
          </w:p>
        </w:tc>
      </w:tr>
      <w:tr w:rsidR="005948BA" w:rsidTr="00B8596B"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Pr="002646E6" w:rsidRDefault="005948BA" w:rsidP="00F57EC7">
            <w:pPr>
              <w:pStyle w:val="Normln1"/>
              <w:spacing w:after="120" w:line="240" w:lineRule="auto"/>
            </w:pPr>
            <w:r w:rsidRPr="002646E6">
              <w:t xml:space="preserve">Podporovat aktivity směřující                  k zavádění témat GRV do vzdělávání zaměstnanců veřejné správy, sdělovacích prostředků, podnikové sféry apod. 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MZV, MŠMT, ČRA, NNO, PPZRS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Uskutečněny min. 2 semináře zaměřené na vzdělávání zaměstnanců státní správy a podnikové sféry.</w:t>
            </w:r>
          </w:p>
        </w:tc>
      </w:tr>
      <w:tr w:rsidR="005948BA" w:rsidTr="00B8596B"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Pr="002646E6" w:rsidRDefault="005948BA" w:rsidP="00F57EC7">
            <w:pPr>
              <w:pStyle w:val="Normln1"/>
              <w:spacing w:after="120" w:line="240" w:lineRule="auto"/>
            </w:pPr>
            <w:r w:rsidRPr="002646E6">
              <w:rPr>
                <w:bCs/>
              </w:rPr>
              <w:t>Podporovat aktivity směřující především ke vzdělávání volených a nevolených zástupců místní samosprávy.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SMO ČR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>
              <w:rPr>
                <w:b/>
              </w:rPr>
              <w:t xml:space="preserve">Uskutečněny minimálně </w:t>
            </w:r>
            <w:r w:rsidRPr="00F57EC7">
              <w:rPr>
                <w:b/>
              </w:rPr>
              <w:t>2 akce zaměřené na vzdělávání volených a nevolených zástupců místní samosprávy.</w:t>
            </w:r>
          </w:p>
        </w:tc>
      </w:tr>
      <w:tr w:rsidR="005948BA" w:rsidTr="00B8596B">
        <w:trPr>
          <w:trHeight w:val="1731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Pr="002646E6" w:rsidRDefault="005948BA" w:rsidP="00F57EC7">
            <w:pPr>
              <w:pStyle w:val="Normln1"/>
              <w:spacing w:after="120" w:line="240" w:lineRule="auto"/>
            </w:pPr>
            <w:r w:rsidRPr="002646E6">
              <w:t xml:space="preserve">Podpořit média, aby informovala veřejnost o problematice rozvojového světa a aby produkovala materiály, které představí svět diverzifikovaně a z pohledu, který odráží témata a principy GRV. 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MZV, ČRA, NNO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Existují projekty či aktivity, které podporují zapojení médií do osvěty o ZRS.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Default="005948BA" w:rsidP="00F57EC7">
            <w:pPr>
              <w:pStyle w:val="Normln1"/>
              <w:spacing w:after="120" w:line="240" w:lineRule="auto"/>
            </w:pPr>
          </w:p>
        </w:tc>
      </w:tr>
      <w:tr w:rsidR="005948BA" w:rsidTr="00B8596B"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spacing w:after="120" w:line="240" w:lineRule="auto"/>
              <w:rPr>
                <w:sz w:val="24"/>
                <w:szCs w:val="24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>Finanční zajištění</w:t>
            </w:r>
          </w:p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 xml:space="preserve">Postupně navyšovat prostředky na dotační titul GRV a osvěta. 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MZV, ČRA</w:t>
            </w:r>
          </w:p>
        </w:tc>
        <w:tc>
          <w:tcPr>
            <w:tcW w:w="6415" w:type="dxa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  <w:r w:rsidRPr="00F57EC7">
              <w:rPr>
                <w:b/>
              </w:rPr>
              <w:t>Ve vazbě na navyšování celkových prostředků na ZRS navýšeny prostředky na dotační titul GRV a osvěta. Zváženo jejich rozdělení na dva samostatné tituly.</w:t>
            </w:r>
          </w:p>
        </w:tc>
      </w:tr>
      <w:tr w:rsidR="005948BA" w:rsidTr="00B8596B"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Posílit programy zaměřené na průřezová témata.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/>
            </w:pPr>
            <w:r>
              <w:t>MŠMT, MŽP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V dotačních titulech MŠMT a MŽP realizovány programy zaměřené na průřezová témata, na rozvoj aktivního občanství a na environmentální vzdělávání.</w:t>
            </w:r>
          </w:p>
        </w:tc>
      </w:tr>
      <w:tr w:rsidR="005948BA" w:rsidTr="00B8596B">
        <w:tc>
          <w:tcPr>
            <w:tcW w:w="15300" w:type="dxa"/>
            <w:gridSpan w:val="4"/>
          </w:tcPr>
          <w:p w:rsidR="005948BA" w:rsidRPr="00F57EC7" w:rsidRDefault="005948BA" w:rsidP="00F57EC7">
            <w:pPr>
              <w:pStyle w:val="Normln1"/>
              <w:spacing w:after="120" w:line="240" w:lineRule="auto"/>
              <w:rPr>
                <w:b/>
              </w:rPr>
            </w:pPr>
          </w:p>
        </w:tc>
      </w:tr>
      <w:tr w:rsidR="005948BA" w:rsidTr="00B8596B">
        <w:tc>
          <w:tcPr>
            <w:tcW w:w="2694" w:type="dxa"/>
            <w:vMerge w:val="restart"/>
          </w:tcPr>
          <w:p w:rsidR="005948BA" w:rsidRPr="00B9187C" w:rsidRDefault="005948BA" w:rsidP="00F57EC7">
            <w:pPr>
              <w:pStyle w:val="Normln1"/>
              <w:spacing w:after="120" w:line="240" w:lineRule="auto"/>
              <w:rPr>
                <w:sz w:val="24"/>
                <w:szCs w:val="24"/>
              </w:rPr>
            </w:pPr>
            <w:r w:rsidRPr="00B9187C">
              <w:rPr>
                <w:b/>
                <w:sz w:val="24"/>
                <w:szCs w:val="24"/>
                <w:u w:val="single"/>
              </w:rPr>
              <w:t>Monitoring a evaluace</w:t>
            </w:r>
          </w:p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Vyhodnotit implementaci Akčního plánu ke konci roku 2017.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MZV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Uskutečněno vyhodnocení plnění akčního plánu.</w:t>
            </w:r>
          </w:p>
        </w:tc>
      </w:tr>
      <w:tr w:rsidR="005948BA" w:rsidTr="00B8596B"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Vyhodnotit dopady GRV v oblasti formálního vzdělávání.</w:t>
            </w: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ČŠI</w:t>
            </w: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Existuje vyhodnocení dopadů GRV v oblasti formálního vzdělávání provedené Českou školní inspekcí, obsahující formulaci doporučení pro školy a zřizovatele, příp. další aktéry.</w:t>
            </w:r>
          </w:p>
        </w:tc>
      </w:tr>
      <w:tr w:rsidR="005948BA" w:rsidTr="00B8596B">
        <w:trPr>
          <w:trHeight w:val="1117"/>
        </w:trPr>
        <w:tc>
          <w:tcPr>
            <w:tcW w:w="2694" w:type="dxa"/>
            <w:vMerge/>
          </w:tcPr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3827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>
              <w:t>Pravidelně vyhodnocovat efektivitu projektů nestátních neziskových organizací realizovaných v gesci MZV/ČRA, resp. MŠMT.</w:t>
            </w:r>
          </w:p>
          <w:p w:rsidR="005948BA" w:rsidRDefault="005948BA" w:rsidP="00F57EC7">
            <w:pPr>
              <w:pStyle w:val="Normln1"/>
              <w:spacing w:after="120" w:line="240" w:lineRule="auto"/>
              <w:ind w:left="360"/>
            </w:pPr>
          </w:p>
        </w:tc>
        <w:tc>
          <w:tcPr>
            <w:tcW w:w="2364" w:type="dxa"/>
          </w:tcPr>
          <w:p w:rsidR="005948BA" w:rsidRDefault="005948BA" w:rsidP="00F57EC7">
            <w:pPr>
              <w:pStyle w:val="Normln1"/>
              <w:spacing w:after="120"/>
            </w:pPr>
            <w:r>
              <w:t>MZV, resp. MŠMT</w:t>
            </w:r>
          </w:p>
          <w:p w:rsidR="005948BA" w:rsidRDefault="005948BA" w:rsidP="00F57EC7">
            <w:pPr>
              <w:pStyle w:val="Normln1"/>
              <w:spacing w:after="120" w:line="240" w:lineRule="auto"/>
            </w:pPr>
          </w:p>
        </w:tc>
        <w:tc>
          <w:tcPr>
            <w:tcW w:w="6415" w:type="dxa"/>
          </w:tcPr>
          <w:p w:rsidR="005948BA" w:rsidRDefault="005948BA" w:rsidP="00F57EC7">
            <w:pPr>
              <w:pStyle w:val="Normln1"/>
              <w:spacing w:after="120" w:line="240" w:lineRule="auto"/>
            </w:pPr>
            <w:r w:rsidRPr="00F57EC7">
              <w:rPr>
                <w:b/>
              </w:rPr>
              <w:t>Uskutečněny evaluace min. 2 projektů v oblasti GRV a osvěta.</w:t>
            </w:r>
          </w:p>
        </w:tc>
      </w:tr>
    </w:tbl>
    <w:p w:rsidR="005948BA" w:rsidRDefault="005948BA" w:rsidP="008970A1">
      <w:pPr>
        <w:pStyle w:val="Normln1"/>
        <w:spacing w:after="120"/>
      </w:pPr>
    </w:p>
    <w:sectPr w:rsidR="005948BA" w:rsidSect="00D84D95">
      <w:footerReference w:type="even" r:id="rId7"/>
      <w:footerReference w:type="default" r:id="rId8"/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BA" w:rsidRDefault="005948BA">
      <w:r>
        <w:separator/>
      </w:r>
    </w:p>
  </w:endnote>
  <w:endnote w:type="continuationSeparator" w:id="0">
    <w:p w:rsidR="005948BA" w:rsidRDefault="0059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BA" w:rsidRDefault="005948BA" w:rsidP="0082664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5948BA" w:rsidRDefault="005948BA" w:rsidP="002115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BA" w:rsidRDefault="005948BA" w:rsidP="0082664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5948BA" w:rsidRDefault="005948BA" w:rsidP="002115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BA" w:rsidRDefault="005948BA">
      <w:r>
        <w:separator/>
      </w:r>
    </w:p>
  </w:footnote>
  <w:footnote w:type="continuationSeparator" w:id="0">
    <w:p w:rsidR="005948BA" w:rsidRDefault="0059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F8E"/>
    <w:multiLevelType w:val="multilevel"/>
    <w:tmpl w:val="9752ACA4"/>
    <w:lvl w:ilvl="0">
      <w:start w:val="1"/>
      <w:numFmt w:val="bullet"/>
      <w:lvlText w:val="●"/>
      <w:lvlJc w:val="left"/>
      <w:pPr>
        <w:ind w:left="1428" w:firstLine="1068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2148" w:firstLine="1788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D95"/>
    <w:rsid w:val="00022AF7"/>
    <w:rsid w:val="00160BD3"/>
    <w:rsid w:val="001B4C0D"/>
    <w:rsid w:val="001D72F5"/>
    <w:rsid w:val="00204A48"/>
    <w:rsid w:val="0020545A"/>
    <w:rsid w:val="0021157A"/>
    <w:rsid w:val="002350E8"/>
    <w:rsid w:val="0025326A"/>
    <w:rsid w:val="00261306"/>
    <w:rsid w:val="002646E6"/>
    <w:rsid w:val="002808C5"/>
    <w:rsid w:val="002A6E60"/>
    <w:rsid w:val="00350C25"/>
    <w:rsid w:val="00380530"/>
    <w:rsid w:val="00385327"/>
    <w:rsid w:val="00390463"/>
    <w:rsid w:val="00411A7D"/>
    <w:rsid w:val="004468AD"/>
    <w:rsid w:val="00483221"/>
    <w:rsid w:val="004845B7"/>
    <w:rsid w:val="004A495A"/>
    <w:rsid w:val="004D15A5"/>
    <w:rsid w:val="004E2DA2"/>
    <w:rsid w:val="005948BA"/>
    <w:rsid w:val="005B1292"/>
    <w:rsid w:val="00603D52"/>
    <w:rsid w:val="006B522C"/>
    <w:rsid w:val="007010E8"/>
    <w:rsid w:val="00737A8B"/>
    <w:rsid w:val="00784148"/>
    <w:rsid w:val="00794D3A"/>
    <w:rsid w:val="007C71A3"/>
    <w:rsid w:val="00802BCD"/>
    <w:rsid w:val="00815F8C"/>
    <w:rsid w:val="00820892"/>
    <w:rsid w:val="0082664B"/>
    <w:rsid w:val="0085106C"/>
    <w:rsid w:val="00861FBE"/>
    <w:rsid w:val="008970A1"/>
    <w:rsid w:val="008C639E"/>
    <w:rsid w:val="008F427C"/>
    <w:rsid w:val="00950EF6"/>
    <w:rsid w:val="00960B21"/>
    <w:rsid w:val="00976F85"/>
    <w:rsid w:val="009973AC"/>
    <w:rsid w:val="009B5E70"/>
    <w:rsid w:val="009D3FBF"/>
    <w:rsid w:val="009D55FD"/>
    <w:rsid w:val="009F15A9"/>
    <w:rsid w:val="009F3610"/>
    <w:rsid w:val="00A82C6D"/>
    <w:rsid w:val="00B05DC2"/>
    <w:rsid w:val="00B25582"/>
    <w:rsid w:val="00B422CC"/>
    <w:rsid w:val="00B77497"/>
    <w:rsid w:val="00B8596B"/>
    <w:rsid w:val="00B9187C"/>
    <w:rsid w:val="00BE1422"/>
    <w:rsid w:val="00C6447B"/>
    <w:rsid w:val="00C663BB"/>
    <w:rsid w:val="00C83203"/>
    <w:rsid w:val="00CE068E"/>
    <w:rsid w:val="00D07620"/>
    <w:rsid w:val="00D57613"/>
    <w:rsid w:val="00D84D95"/>
    <w:rsid w:val="00DB1262"/>
    <w:rsid w:val="00DF14C9"/>
    <w:rsid w:val="00DF2C65"/>
    <w:rsid w:val="00E71318"/>
    <w:rsid w:val="00F329E4"/>
    <w:rsid w:val="00F57EC7"/>
    <w:rsid w:val="00FE59E4"/>
    <w:rsid w:val="00FE70BE"/>
    <w:rsid w:val="00FF2E3D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C65"/>
    <w:pPr>
      <w:spacing w:after="200" w:line="276" w:lineRule="auto"/>
    </w:pPr>
    <w:rPr>
      <w:color w:val="000000"/>
    </w:rPr>
  </w:style>
  <w:style w:type="paragraph" w:styleId="Heading1">
    <w:name w:val="heading 1"/>
    <w:basedOn w:val="Normln1"/>
    <w:next w:val="Normln1"/>
    <w:link w:val="Heading1Char"/>
    <w:uiPriority w:val="99"/>
    <w:qFormat/>
    <w:rsid w:val="00D84D9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link w:val="Heading2Char"/>
    <w:uiPriority w:val="99"/>
    <w:qFormat/>
    <w:rsid w:val="00D84D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link w:val="Heading3Char"/>
    <w:uiPriority w:val="99"/>
    <w:qFormat/>
    <w:rsid w:val="00D84D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link w:val="Heading4Char"/>
    <w:uiPriority w:val="99"/>
    <w:qFormat/>
    <w:rsid w:val="00D84D9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ln1"/>
    <w:next w:val="Normln1"/>
    <w:link w:val="Heading5Char"/>
    <w:uiPriority w:val="99"/>
    <w:qFormat/>
    <w:rsid w:val="00D84D9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ln1"/>
    <w:next w:val="Normln1"/>
    <w:link w:val="Heading6Char"/>
    <w:uiPriority w:val="99"/>
    <w:qFormat/>
    <w:rsid w:val="00D84D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49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749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749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749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749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7497"/>
    <w:rPr>
      <w:rFonts w:ascii="Calibri" w:hAnsi="Calibri" w:cs="Times New Roman"/>
      <w:b/>
      <w:bCs/>
      <w:color w:val="000000"/>
    </w:rPr>
  </w:style>
  <w:style w:type="paragraph" w:customStyle="1" w:styleId="Normln1">
    <w:name w:val="Normální1"/>
    <w:uiPriority w:val="99"/>
    <w:rsid w:val="00D84D95"/>
    <w:pPr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D84D95"/>
    <w:pPr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link w:val="TitleChar"/>
    <w:uiPriority w:val="99"/>
    <w:qFormat/>
    <w:rsid w:val="00D84D9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77497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ln1"/>
    <w:next w:val="Normln1"/>
    <w:link w:val="SubtitleChar"/>
    <w:uiPriority w:val="99"/>
    <w:qFormat/>
    <w:rsid w:val="00D84D9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7497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D84D9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Normln11">
    <w:name w:val="Normální11"/>
    <w:uiPriority w:val="99"/>
    <w:rsid w:val="009973A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50E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0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0E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0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0E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E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A6E60"/>
    <w:rPr>
      <w:color w:val="000000"/>
    </w:rPr>
  </w:style>
  <w:style w:type="paragraph" w:styleId="Footer">
    <w:name w:val="footer"/>
    <w:basedOn w:val="Normal"/>
    <w:link w:val="FooterChar"/>
    <w:uiPriority w:val="99"/>
    <w:rsid w:val="002115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497"/>
    <w:rPr>
      <w:rFonts w:cs="Times New Roman"/>
      <w:color w:val="000000"/>
    </w:rPr>
  </w:style>
  <w:style w:type="character" w:styleId="PageNumber">
    <w:name w:val="page number"/>
    <w:basedOn w:val="DefaultParagraphFont"/>
    <w:uiPriority w:val="99"/>
    <w:rsid w:val="002115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1447</Words>
  <Characters>8539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Akční plán Národní strategie globálního rozvojového vzdělávání pro období 2016 - 2017</dc:title>
  <dc:subject/>
  <dc:creator>Zuzana</dc:creator>
  <cp:keywords/>
  <dc:description/>
  <cp:lastModifiedBy>dkubikov</cp:lastModifiedBy>
  <cp:revision>2</cp:revision>
  <cp:lastPrinted>2016-04-05T07:00:00Z</cp:lastPrinted>
  <dcterms:created xsi:type="dcterms:W3CDTF">2016-09-21T08:19:00Z</dcterms:created>
  <dcterms:modified xsi:type="dcterms:W3CDTF">2016-09-21T08:19:00Z</dcterms:modified>
</cp:coreProperties>
</file>